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748"/>
        <w:gridCol w:w="3207"/>
      </w:tblGrid>
      <w:tr w:rsidR="0046194D" w:rsidRPr="00472004" w:rsidTr="003C1CB4">
        <w:trPr>
          <w:tblCellSpacing w:w="15" w:type="dxa"/>
        </w:trPr>
        <w:tc>
          <w:tcPr>
            <w:tcW w:w="0" w:type="auto"/>
            <w:shd w:val="clear" w:color="auto" w:fill="990000"/>
            <w:vAlign w:val="center"/>
            <w:hideMark/>
          </w:tcPr>
          <w:p w:rsidR="0046194D" w:rsidRPr="00472004" w:rsidRDefault="0046194D" w:rsidP="0046194D">
            <w:pPr>
              <w:spacing w:after="0" w:line="240" w:lineRule="auto"/>
              <w:rPr>
                <w:rFonts w:ascii="Times New Roman" w:eastAsia="Times New Roman" w:hAnsi="Times New Roman" w:cs="Times New Roman"/>
                <w:color w:val="000000"/>
                <w:sz w:val="24"/>
                <w:szCs w:val="24"/>
                <w:lang w:eastAsia="fr-FR"/>
              </w:rPr>
            </w:pPr>
            <w:proofErr w:type="spellStart"/>
            <w:r w:rsidRPr="00472004">
              <w:rPr>
                <w:rFonts w:ascii="Times New Roman" w:eastAsia="Times New Roman" w:hAnsi="Times New Roman" w:cs="Times New Roman"/>
                <w:color w:val="000000"/>
                <w:sz w:val="24"/>
                <w:szCs w:val="24"/>
                <w:lang w:eastAsia="fr-FR"/>
              </w:rPr>
              <w:t>Phénytoïne</w:t>
            </w:r>
            <w:proofErr w:type="spellEnd"/>
            <w:r>
              <w:rPr>
                <w:rFonts w:ascii="Times New Roman" w:eastAsia="Times New Roman" w:hAnsi="Times New Roman" w:cs="Times New Roman"/>
                <w:color w:val="000000"/>
                <w:sz w:val="24"/>
                <w:szCs w:val="24"/>
                <w:lang w:eastAsia="fr-FR"/>
              </w:rPr>
              <w:t xml:space="preserve"> inject</w:t>
            </w:r>
            <w:r w:rsidRPr="00472004">
              <w:rPr>
                <w:rFonts w:ascii="Times New Roman" w:eastAsia="Times New Roman" w:hAnsi="Times New Roman" w:cs="Times New Roman"/>
                <w:color w:val="000000"/>
                <w:sz w:val="24"/>
                <w:szCs w:val="24"/>
                <w:lang w:eastAsia="fr-FR"/>
              </w:rPr>
              <w:t xml:space="preserve"> </w:t>
            </w:r>
          </w:p>
        </w:tc>
        <w:tc>
          <w:tcPr>
            <w:tcW w:w="0" w:type="auto"/>
            <w:vAlign w:val="center"/>
            <w:hideMark/>
          </w:tcPr>
          <w:p w:rsidR="0046194D" w:rsidRPr="00472004" w:rsidRDefault="0046194D" w:rsidP="003C1CB4">
            <w:pPr>
              <w:spacing w:after="0" w:line="240" w:lineRule="auto"/>
              <w:rPr>
                <w:rFonts w:ascii="Times New Roman" w:eastAsia="Times New Roman" w:hAnsi="Times New Roman" w:cs="Times New Roman"/>
                <w:color w:val="000000"/>
                <w:sz w:val="24"/>
                <w:szCs w:val="24"/>
                <w:lang w:eastAsia="fr-FR"/>
              </w:rPr>
            </w:pPr>
            <w:r w:rsidRPr="00472004">
              <w:rPr>
                <w:rFonts w:ascii="Verdana" w:eastAsia="Times New Roman" w:hAnsi="Verdana" w:cs="Times New Roman"/>
                <w:b/>
                <w:bCs/>
                <w:color w:val="990000"/>
                <w:sz w:val="24"/>
                <w:szCs w:val="24"/>
                <w:lang w:eastAsia="fr-FR"/>
              </w:rPr>
              <w:t>PHARMACOCINÉTIQUE</w:t>
            </w:r>
            <w:r w:rsidRPr="00472004">
              <w:rPr>
                <w:rFonts w:ascii="Times New Roman" w:eastAsia="Times New Roman" w:hAnsi="Times New Roman" w:cs="Times New Roman"/>
                <w:color w:val="000000"/>
                <w:sz w:val="24"/>
                <w:szCs w:val="24"/>
                <w:lang w:eastAsia="fr-FR"/>
              </w:rPr>
              <w:t xml:space="preserve">  </w:t>
            </w:r>
          </w:p>
        </w:tc>
      </w:tr>
    </w:tbl>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est une pro-drogue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rapidement transformée en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mole pour mole.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 xml:space="preserve">Pharmacocinétique de la </w:t>
      </w:r>
      <w:proofErr w:type="spellStart"/>
      <w:r w:rsidRPr="00472004">
        <w:rPr>
          <w:rFonts w:ascii="Times New Roman" w:eastAsia="Times New Roman" w:hAnsi="Times New Roman" w:cs="Times New Roman"/>
          <w:color w:val="000000"/>
          <w:sz w:val="24"/>
          <w:szCs w:val="24"/>
          <w:u w:val="single"/>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Absorption/biodisponibilité</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Lors d'une perfusion IV, les concentrations plasmatiques maximales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sont atteintes à la fin de la perfusion. Après injection IM,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est totalement </w:t>
      </w:r>
      <w:proofErr w:type="spellStart"/>
      <w:r w:rsidRPr="00472004">
        <w:rPr>
          <w:rFonts w:ascii="Times New Roman" w:eastAsia="Times New Roman" w:hAnsi="Times New Roman" w:cs="Times New Roman"/>
          <w:color w:val="000000"/>
          <w:sz w:val="24"/>
          <w:szCs w:val="24"/>
          <w:lang w:eastAsia="fr-FR"/>
        </w:rPr>
        <w:t>biodisponible</w:t>
      </w:r>
      <w:proofErr w:type="spellEnd"/>
      <w:r w:rsidRPr="00472004">
        <w:rPr>
          <w:rFonts w:ascii="Times New Roman" w:eastAsia="Times New Roman" w:hAnsi="Times New Roman" w:cs="Times New Roman"/>
          <w:color w:val="000000"/>
          <w:sz w:val="24"/>
          <w:szCs w:val="24"/>
          <w:lang w:eastAsia="fr-FR"/>
        </w:rPr>
        <w:t xml:space="preserve">; les concentrations maximales sont atteintes environ 30 minutes après l'injection. Les concentrations plasmatiques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sont plus faibles mais plus soutenues après injection IM qu'après administration IV en raison du délai requis pour l'absorption de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à partir du site d'injection.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Distribution</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est fortement liée aux protéines plasmatiques humaines (à hauteur de 95% à 99%), principalement à l'albumine. Comme la liaison aux protéines plasmatiques est saturable, la fraction libre augmente avec la concentration totale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déplace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de ses sites de fixation aux protéines. Le volume de distribution de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augmente en fonction de la dose et du débit d'administration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sodique; il est compris entre 4,3 et 10,8 litres.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Métabolisme et excrétion</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L'hydrolyse de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en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donne naissance à deux métabolites, le phosphate et le formaldéhyde. Le dérivé formaldéhyde est ensuite transformé en formate, lequel à son tour est métabolisé par un mécanisme qui fait intervenir les </w:t>
      </w:r>
      <w:proofErr w:type="spellStart"/>
      <w:r w:rsidRPr="00472004">
        <w:rPr>
          <w:rFonts w:ascii="Times New Roman" w:eastAsia="Times New Roman" w:hAnsi="Times New Roman" w:cs="Times New Roman"/>
          <w:color w:val="000000"/>
          <w:sz w:val="24"/>
          <w:szCs w:val="24"/>
          <w:lang w:eastAsia="fr-FR"/>
        </w:rPr>
        <w:t>folates</w:t>
      </w:r>
      <w:proofErr w:type="spellEnd"/>
      <w:r w:rsidRPr="00472004">
        <w:rPr>
          <w:rFonts w:ascii="Times New Roman" w:eastAsia="Times New Roman" w:hAnsi="Times New Roman" w:cs="Times New Roman"/>
          <w:color w:val="000000"/>
          <w:sz w:val="24"/>
          <w:szCs w:val="24"/>
          <w:lang w:eastAsia="fr-FR"/>
        </w:rPr>
        <w:t xml:space="preserve">. Bien que le phosphate et le formaldéhyde (formate) exercent des effets biologiques potentiellement importants, ces effets ne s'observent qu'à des concentrations très largement supérieures à celles atteintes après administration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dans les conditions thérapeutiques.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La demi-vie de la biotransformation de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en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est d'environ 15 minutes.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Le mécanisme de cette transformation est inconnu mais des phosphatases jouent probablement un rôle majeur. Chaque </w:t>
      </w:r>
      <w:proofErr w:type="spellStart"/>
      <w:r w:rsidRPr="00472004">
        <w:rPr>
          <w:rFonts w:ascii="Times New Roman" w:eastAsia="Times New Roman" w:hAnsi="Times New Roman" w:cs="Times New Roman"/>
          <w:color w:val="000000"/>
          <w:sz w:val="24"/>
          <w:szCs w:val="24"/>
          <w:lang w:eastAsia="fr-FR"/>
        </w:rPr>
        <w:t>millimole</w:t>
      </w:r>
      <w:proofErr w:type="spellEnd"/>
      <w:r w:rsidRPr="00472004">
        <w:rPr>
          <w:rFonts w:ascii="Times New Roman" w:eastAsia="Times New Roman" w:hAnsi="Times New Roman" w:cs="Times New Roman"/>
          <w:color w:val="000000"/>
          <w:sz w:val="24"/>
          <w:szCs w:val="24"/>
          <w:lang w:eastAsia="fr-FR"/>
        </w:rPr>
        <w:t xml:space="preserve">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est métabolisée en 1 </w:t>
      </w:r>
      <w:proofErr w:type="spellStart"/>
      <w:r w:rsidRPr="00472004">
        <w:rPr>
          <w:rFonts w:ascii="Times New Roman" w:eastAsia="Times New Roman" w:hAnsi="Times New Roman" w:cs="Times New Roman"/>
          <w:color w:val="000000"/>
          <w:sz w:val="24"/>
          <w:szCs w:val="24"/>
          <w:lang w:eastAsia="fr-FR"/>
        </w:rPr>
        <w:t>millimole</w:t>
      </w:r>
      <w:proofErr w:type="spellEnd"/>
      <w:r w:rsidRPr="00472004">
        <w:rPr>
          <w:rFonts w:ascii="Times New Roman" w:eastAsia="Times New Roman" w:hAnsi="Times New Roman" w:cs="Times New Roman"/>
          <w:color w:val="000000"/>
          <w:sz w:val="24"/>
          <w:szCs w:val="24"/>
          <w:lang w:eastAsia="fr-FR"/>
        </w:rPr>
        <w:t xml:space="preserve">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phosphate et formate.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n'est pas excrétée dans les urines.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 xml:space="preserve">Pharmacocinétique de la </w:t>
      </w:r>
      <w:proofErr w:type="spellStart"/>
      <w:r w:rsidRPr="00472004">
        <w:rPr>
          <w:rFonts w:ascii="Times New Roman" w:eastAsia="Times New Roman" w:hAnsi="Times New Roman" w:cs="Times New Roman"/>
          <w:color w:val="000000"/>
          <w:sz w:val="24"/>
          <w:szCs w:val="24"/>
          <w:u w:val="single"/>
          <w:lang w:eastAsia="fr-FR"/>
        </w:rPr>
        <w:t>phénytoïne</w:t>
      </w:r>
      <w:proofErr w:type="spellEnd"/>
      <w:r w:rsidRPr="00472004">
        <w:rPr>
          <w:rFonts w:ascii="Times New Roman" w:eastAsia="Times New Roman" w:hAnsi="Times New Roman" w:cs="Times New Roman"/>
          <w:color w:val="000000"/>
          <w:sz w:val="24"/>
          <w:szCs w:val="24"/>
          <w:u w:val="single"/>
          <w:lang w:eastAsia="fr-FR"/>
        </w:rPr>
        <w:t xml:space="preserve"> (après administration de </w:t>
      </w:r>
      <w:proofErr w:type="spellStart"/>
      <w:r w:rsidRPr="00472004">
        <w:rPr>
          <w:rFonts w:ascii="Times New Roman" w:eastAsia="Times New Roman" w:hAnsi="Times New Roman" w:cs="Times New Roman"/>
          <w:color w:val="000000"/>
          <w:sz w:val="24"/>
          <w:szCs w:val="24"/>
          <w:u w:val="single"/>
          <w:lang w:eastAsia="fr-FR"/>
        </w:rPr>
        <w:t>fosphénytoïne</w:t>
      </w:r>
      <w:proofErr w:type="spellEnd"/>
      <w:r w:rsidRPr="00472004">
        <w:rPr>
          <w:rFonts w:ascii="Times New Roman" w:eastAsia="Times New Roman" w:hAnsi="Times New Roman" w:cs="Times New Roman"/>
          <w:color w:val="000000"/>
          <w:sz w:val="24"/>
          <w:szCs w:val="24"/>
          <w:u w:val="single"/>
          <w:lang w:eastAsia="fr-FR"/>
        </w:rPr>
        <w:t>)</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Après administration IV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la pharmacocinétique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est complexe; des différences de disponibilité en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pourraient jouer un rôle déterminant en situation d'urgence (par exemple en cas d'état de mal épileptique). C'est pourquoi des études ont été menées pour déterminer empiriquement un débit de perfusion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w:t>
      </w:r>
      <w:r w:rsidRPr="00472004">
        <w:rPr>
          <w:rFonts w:ascii="Times New Roman" w:eastAsia="Times New Roman" w:hAnsi="Times New Roman" w:cs="Times New Roman"/>
          <w:color w:val="000000"/>
          <w:sz w:val="24"/>
          <w:szCs w:val="24"/>
          <w:lang w:eastAsia="fr-FR"/>
        </w:rPr>
        <w:lastRenderedPageBreak/>
        <w:t xml:space="preserve">qui permette d'obtenir une disponibilité systémique comparable à celle d'une perfusion de 50 mg par minute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sodique.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Comme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est complètement absorbée et transformée en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après injection IM, les concentrations systémiques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obtenues sont suffisamment proches de celles obtenues avec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orale pour permettre la substitution de ces deux médicaments en pratique et obtenir une dose de charge fiable après administration IM.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Le tableau ci-après indique les paramètres pharmacocinétiques de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et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après administration IV et IM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Valeurs moyennes des paramètres pharmacocinétiques selon la voie d'administration de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w:t>
      </w:r>
    </w:p>
    <w:tbl>
      <w:tblPr>
        <w:tblW w:w="0" w:type="auto"/>
        <w:tblCellSpacing w:w="0" w:type="dxa"/>
        <w:tblInd w:w="70" w:type="dxa"/>
        <w:tblCellMar>
          <w:left w:w="0" w:type="dxa"/>
          <w:right w:w="0" w:type="dxa"/>
        </w:tblCellMar>
        <w:tblLook w:val="04A0"/>
      </w:tblPr>
      <w:tblGrid>
        <w:gridCol w:w="593"/>
        <w:gridCol w:w="643"/>
        <w:gridCol w:w="915"/>
        <w:gridCol w:w="1034"/>
        <w:gridCol w:w="817"/>
        <w:gridCol w:w="857"/>
        <w:gridCol w:w="975"/>
        <w:gridCol w:w="817"/>
        <w:gridCol w:w="857"/>
        <w:gridCol w:w="817"/>
        <w:gridCol w:w="857"/>
      </w:tblGrid>
      <w:tr w:rsidR="0046194D" w:rsidRPr="00472004" w:rsidTr="003C1CB4">
        <w:trPr>
          <w:tblCellSpacing w:w="0" w:type="dxa"/>
        </w:trPr>
        <w:tc>
          <w:tcPr>
            <w:tcW w:w="8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Voie </w:t>
            </w:r>
          </w:p>
        </w:tc>
        <w:tc>
          <w:tcPr>
            <w:tcW w:w="8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Dose (mg d'EP) </w:t>
            </w:r>
          </w:p>
        </w:tc>
        <w:tc>
          <w:tcPr>
            <w:tcW w:w="8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Dose (mg d'EP/kg) </w:t>
            </w:r>
          </w:p>
        </w:tc>
        <w:tc>
          <w:tcPr>
            <w:tcW w:w="8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Débit de la perfusion (mg d'EP/min) </w:t>
            </w:r>
          </w:p>
        </w:tc>
        <w:tc>
          <w:tcPr>
            <w:tcW w:w="260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w:t>
            </w:r>
          </w:p>
        </w:tc>
        <w:tc>
          <w:tcPr>
            <w:tcW w:w="173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totale </w:t>
            </w:r>
          </w:p>
        </w:tc>
        <w:tc>
          <w:tcPr>
            <w:tcW w:w="183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libre (non liée) </w:t>
            </w:r>
          </w:p>
        </w:tc>
      </w:tr>
      <w:tr w:rsidR="0046194D" w:rsidRPr="00472004" w:rsidTr="003C1CB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194D" w:rsidRPr="00472004" w:rsidRDefault="0046194D" w:rsidP="003C1CB4">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194D" w:rsidRPr="00472004" w:rsidRDefault="0046194D" w:rsidP="003C1CB4">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194D" w:rsidRPr="00472004" w:rsidRDefault="0046194D" w:rsidP="003C1CB4">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194D" w:rsidRPr="00472004" w:rsidRDefault="0046194D" w:rsidP="003C1CB4">
            <w:pPr>
              <w:spacing w:after="0" w:line="240" w:lineRule="auto"/>
              <w:rPr>
                <w:rFonts w:ascii="Times New Roman" w:eastAsia="Times New Roman" w:hAnsi="Times New Roman" w:cs="Times New Roman"/>
                <w:color w:val="000000"/>
                <w:sz w:val="24"/>
                <w:szCs w:val="24"/>
                <w:lang w:eastAsia="fr-FR"/>
              </w:rPr>
            </w:pP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proofErr w:type="spellStart"/>
            <w:r w:rsidRPr="00472004">
              <w:rPr>
                <w:rFonts w:ascii="Times New Roman" w:eastAsia="Times New Roman" w:hAnsi="Times New Roman" w:cs="Times New Roman"/>
                <w:color w:val="000000"/>
                <w:sz w:val="24"/>
                <w:szCs w:val="24"/>
                <w:lang w:eastAsia="fr-FR"/>
              </w:rPr>
              <w:t>C</w:t>
            </w:r>
            <w:r w:rsidRPr="00472004">
              <w:rPr>
                <w:rFonts w:ascii="Times New Roman" w:eastAsia="Times New Roman" w:hAnsi="Times New Roman" w:cs="Times New Roman"/>
                <w:color w:val="000000"/>
                <w:sz w:val="24"/>
                <w:szCs w:val="24"/>
                <w:vertAlign w:val="subscript"/>
                <w:lang w:eastAsia="fr-FR"/>
              </w:rPr>
              <w:t>max</w:t>
            </w:r>
            <w:proofErr w:type="spellEnd"/>
            <w:r w:rsidRPr="00472004">
              <w:rPr>
                <w:rFonts w:ascii="Times New Roman" w:eastAsia="Times New Roman" w:hAnsi="Times New Roman" w:cs="Times New Roman"/>
                <w:color w:val="000000"/>
                <w:sz w:val="24"/>
                <w:szCs w:val="24"/>
                <w:lang w:eastAsia="fr-FR"/>
              </w:rPr>
              <w:t xml:space="preserve"> (µg/ml)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proofErr w:type="spellStart"/>
            <w:r w:rsidRPr="00472004">
              <w:rPr>
                <w:rFonts w:ascii="Times New Roman" w:eastAsia="Times New Roman" w:hAnsi="Times New Roman" w:cs="Times New Roman"/>
                <w:color w:val="000000"/>
                <w:sz w:val="24"/>
                <w:szCs w:val="24"/>
                <w:lang w:eastAsia="fr-FR"/>
              </w:rPr>
              <w:t>T</w:t>
            </w:r>
            <w:r w:rsidRPr="00472004">
              <w:rPr>
                <w:rFonts w:ascii="Times New Roman" w:eastAsia="Times New Roman" w:hAnsi="Times New Roman" w:cs="Times New Roman"/>
                <w:color w:val="000000"/>
                <w:sz w:val="24"/>
                <w:szCs w:val="24"/>
                <w:vertAlign w:val="subscript"/>
                <w:lang w:eastAsia="fr-FR"/>
              </w:rPr>
              <w:t>max</w:t>
            </w:r>
            <w:proofErr w:type="spellEnd"/>
            <w:r w:rsidRPr="00472004">
              <w:rPr>
                <w:rFonts w:ascii="Times New Roman" w:eastAsia="Times New Roman" w:hAnsi="Times New Roman" w:cs="Times New Roman"/>
                <w:color w:val="000000"/>
                <w:sz w:val="24"/>
                <w:szCs w:val="24"/>
                <w:lang w:eastAsia="fr-FR"/>
              </w:rPr>
              <w:t xml:space="preserve"> (heures)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t1/2 (minutes)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proofErr w:type="spellStart"/>
            <w:r w:rsidRPr="00472004">
              <w:rPr>
                <w:rFonts w:ascii="Times New Roman" w:eastAsia="Times New Roman" w:hAnsi="Times New Roman" w:cs="Times New Roman"/>
                <w:color w:val="000000"/>
                <w:sz w:val="24"/>
                <w:szCs w:val="24"/>
                <w:lang w:eastAsia="fr-FR"/>
              </w:rPr>
              <w:t>C</w:t>
            </w:r>
            <w:r w:rsidRPr="00472004">
              <w:rPr>
                <w:rFonts w:ascii="Times New Roman" w:eastAsia="Times New Roman" w:hAnsi="Times New Roman" w:cs="Times New Roman"/>
                <w:color w:val="000000"/>
                <w:sz w:val="24"/>
                <w:szCs w:val="24"/>
                <w:vertAlign w:val="subscript"/>
                <w:lang w:eastAsia="fr-FR"/>
              </w:rPr>
              <w:t>max</w:t>
            </w:r>
            <w:proofErr w:type="spellEnd"/>
            <w:r w:rsidRPr="00472004">
              <w:rPr>
                <w:rFonts w:ascii="Times New Roman" w:eastAsia="Times New Roman" w:hAnsi="Times New Roman" w:cs="Times New Roman"/>
                <w:color w:val="000000"/>
                <w:sz w:val="24"/>
                <w:szCs w:val="24"/>
                <w:lang w:eastAsia="fr-FR"/>
              </w:rPr>
              <w:t xml:space="preserve"> (µg/ml)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proofErr w:type="spellStart"/>
            <w:r w:rsidRPr="00472004">
              <w:rPr>
                <w:rFonts w:ascii="Times New Roman" w:eastAsia="Times New Roman" w:hAnsi="Times New Roman" w:cs="Times New Roman"/>
                <w:color w:val="000000"/>
                <w:sz w:val="24"/>
                <w:szCs w:val="24"/>
                <w:lang w:eastAsia="fr-FR"/>
              </w:rPr>
              <w:t>T</w:t>
            </w:r>
            <w:r w:rsidRPr="00472004">
              <w:rPr>
                <w:rFonts w:ascii="Times New Roman" w:eastAsia="Times New Roman" w:hAnsi="Times New Roman" w:cs="Times New Roman"/>
                <w:color w:val="000000"/>
                <w:sz w:val="24"/>
                <w:szCs w:val="24"/>
                <w:vertAlign w:val="subscript"/>
                <w:lang w:eastAsia="fr-FR"/>
              </w:rPr>
              <w:t>max</w:t>
            </w:r>
            <w:proofErr w:type="spellEnd"/>
            <w:r w:rsidRPr="00472004">
              <w:rPr>
                <w:rFonts w:ascii="Times New Roman" w:eastAsia="Times New Roman" w:hAnsi="Times New Roman" w:cs="Times New Roman"/>
                <w:color w:val="000000"/>
                <w:sz w:val="24"/>
                <w:szCs w:val="24"/>
                <w:lang w:eastAsia="fr-FR"/>
              </w:rPr>
              <w:t xml:space="preserve"> (heures)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proofErr w:type="spellStart"/>
            <w:r w:rsidRPr="00472004">
              <w:rPr>
                <w:rFonts w:ascii="Times New Roman" w:eastAsia="Times New Roman" w:hAnsi="Times New Roman" w:cs="Times New Roman"/>
                <w:color w:val="000000"/>
                <w:sz w:val="24"/>
                <w:szCs w:val="24"/>
                <w:lang w:eastAsia="fr-FR"/>
              </w:rPr>
              <w:t>C</w:t>
            </w:r>
            <w:r w:rsidRPr="00472004">
              <w:rPr>
                <w:rFonts w:ascii="Times New Roman" w:eastAsia="Times New Roman" w:hAnsi="Times New Roman" w:cs="Times New Roman"/>
                <w:color w:val="000000"/>
                <w:sz w:val="24"/>
                <w:szCs w:val="24"/>
                <w:vertAlign w:val="subscript"/>
                <w:lang w:eastAsia="fr-FR"/>
              </w:rPr>
              <w:t>max</w:t>
            </w:r>
            <w:proofErr w:type="spellEnd"/>
            <w:r w:rsidRPr="00472004">
              <w:rPr>
                <w:rFonts w:ascii="Times New Roman" w:eastAsia="Times New Roman" w:hAnsi="Times New Roman" w:cs="Times New Roman"/>
                <w:color w:val="000000"/>
                <w:sz w:val="24"/>
                <w:szCs w:val="24"/>
                <w:lang w:eastAsia="fr-FR"/>
              </w:rPr>
              <w:t xml:space="preserve"> (µg/ml) </w:t>
            </w:r>
          </w:p>
        </w:tc>
        <w:tc>
          <w:tcPr>
            <w:tcW w:w="963"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after="0" w:line="240" w:lineRule="auto"/>
              <w:jc w:val="center"/>
              <w:rPr>
                <w:rFonts w:ascii="Times New Roman" w:eastAsia="Times New Roman" w:hAnsi="Times New Roman" w:cs="Times New Roman"/>
                <w:color w:val="000000"/>
                <w:sz w:val="24"/>
                <w:szCs w:val="24"/>
                <w:lang w:eastAsia="fr-FR"/>
              </w:rPr>
            </w:pPr>
            <w:proofErr w:type="spellStart"/>
            <w:r w:rsidRPr="00472004">
              <w:rPr>
                <w:rFonts w:ascii="Times New Roman" w:eastAsia="Times New Roman" w:hAnsi="Times New Roman" w:cs="Times New Roman"/>
                <w:color w:val="000000"/>
                <w:sz w:val="24"/>
                <w:szCs w:val="24"/>
                <w:lang w:eastAsia="fr-FR"/>
              </w:rPr>
              <w:t>T</w:t>
            </w:r>
            <w:r w:rsidRPr="00472004">
              <w:rPr>
                <w:rFonts w:ascii="Times New Roman" w:eastAsia="Times New Roman" w:hAnsi="Times New Roman" w:cs="Times New Roman"/>
                <w:color w:val="000000"/>
                <w:sz w:val="24"/>
                <w:szCs w:val="24"/>
                <w:vertAlign w:val="subscript"/>
                <w:lang w:eastAsia="fr-FR"/>
              </w:rPr>
              <w:t>max</w:t>
            </w:r>
            <w:proofErr w:type="spellEnd"/>
            <w:r w:rsidRPr="00472004">
              <w:rPr>
                <w:rFonts w:ascii="Times New Roman" w:eastAsia="Times New Roman" w:hAnsi="Times New Roman" w:cs="Times New Roman"/>
                <w:color w:val="000000"/>
                <w:sz w:val="24"/>
                <w:szCs w:val="24"/>
                <w:lang w:eastAsia="fr-FR"/>
              </w:rPr>
              <w:t xml:space="preserve"> (heures) </w:t>
            </w:r>
          </w:p>
        </w:tc>
      </w:tr>
      <w:tr w:rsidR="0046194D" w:rsidRPr="00472004" w:rsidTr="003C1CB4">
        <w:trPr>
          <w:tblCellSpacing w:w="0" w:type="dxa"/>
        </w:trPr>
        <w:tc>
          <w:tcPr>
            <w:tcW w:w="8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IM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855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12,4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18,5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0,61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41,2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14,3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3,23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2,02 </w:t>
            </w:r>
          </w:p>
        </w:tc>
        <w:tc>
          <w:tcPr>
            <w:tcW w:w="963"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4,16 </w:t>
            </w:r>
          </w:p>
        </w:tc>
      </w:tr>
      <w:tr w:rsidR="0046194D" w:rsidRPr="00472004" w:rsidTr="003C1CB4">
        <w:trPr>
          <w:tblCellSpacing w:w="0" w:type="dxa"/>
        </w:trPr>
        <w:tc>
          <w:tcPr>
            <w:tcW w:w="8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IV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1200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15,6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100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139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0,19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18,9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26,9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1,18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2,78 </w:t>
            </w:r>
          </w:p>
        </w:tc>
        <w:tc>
          <w:tcPr>
            <w:tcW w:w="963"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0,52 </w:t>
            </w:r>
          </w:p>
        </w:tc>
      </w:tr>
      <w:tr w:rsidR="0046194D" w:rsidRPr="00472004" w:rsidTr="003C1CB4">
        <w:trPr>
          <w:tblCellSpacing w:w="0" w:type="dxa"/>
        </w:trPr>
        <w:tc>
          <w:tcPr>
            <w:tcW w:w="8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IV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1200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15,6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150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156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0,13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20,5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28,2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0,98 </w:t>
            </w:r>
          </w:p>
        </w:tc>
        <w:tc>
          <w:tcPr>
            <w:tcW w:w="867"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3,18 </w:t>
            </w:r>
          </w:p>
        </w:tc>
        <w:tc>
          <w:tcPr>
            <w:tcW w:w="963" w:type="dxa"/>
            <w:tcBorders>
              <w:top w:val="nil"/>
              <w:left w:val="nil"/>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jc w:val="center"/>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0,58 </w:t>
            </w:r>
          </w:p>
        </w:tc>
      </w:tr>
      <w:tr w:rsidR="0046194D" w:rsidRPr="00472004" w:rsidTr="003C1CB4">
        <w:trPr>
          <w:tblCellSpacing w:w="0" w:type="dxa"/>
        </w:trPr>
        <w:tc>
          <w:tcPr>
            <w:tcW w:w="9630"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72004" w:rsidRPr="00472004" w:rsidRDefault="0046194D" w:rsidP="003C1CB4">
            <w:pPr>
              <w:spacing w:before="100" w:beforeAutospacing="1" w:after="0"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Dose = Dose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(équivalents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sodique [mg d'EP] ou équivalents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sodique/kg [mg d'EP/kg]).</w:t>
            </w:r>
            <w:r w:rsidRPr="00472004">
              <w:rPr>
                <w:rFonts w:ascii="Times New Roman" w:eastAsia="Times New Roman" w:hAnsi="Times New Roman" w:cs="Times New Roman"/>
                <w:color w:val="000000"/>
                <w:sz w:val="24"/>
                <w:szCs w:val="24"/>
                <w:lang w:eastAsia="fr-FR"/>
              </w:rPr>
              <w:br/>
              <w:t xml:space="preserve">Débit de la perfusion = Débit de perfusion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(mg d'équivalents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sodique/min [mg d'EP/min]</w:t>
            </w:r>
            <w:proofErr w:type="gramStart"/>
            <w:r w:rsidRPr="00472004">
              <w:rPr>
                <w:rFonts w:ascii="Times New Roman" w:eastAsia="Times New Roman" w:hAnsi="Times New Roman" w:cs="Times New Roman"/>
                <w:color w:val="000000"/>
                <w:sz w:val="24"/>
                <w:szCs w:val="24"/>
                <w:lang w:eastAsia="fr-FR"/>
              </w:rPr>
              <w:t>)</w:t>
            </w:r>
            <w:proofErr w:type="gramEnd"/>
            <w:r w:rsidRPr="00472004">
              <w:rPr>
                <w:rFonts w:ascii="Times New Roman" w:eastAsia="Times New Roman" w:hAnsi="Times New Roman" w:cs="Times New Roman"/>
                <w:color w:val="000000"/>
                <w:sz w:val="24"/>
                <w:szCs w:val="24"/>
                <w:lang w:eastAsia="fr-FR"/>
              </w:rPr>
              <w:br/>
            </w:r>
            <w:proofErr w:type="spellStart"/>
            <w:r w:rsidRPr="00472004">
              <w:rPr>
                <w:rFonts w:ascii="Times New Roman" w:eastAsia="Times New Roman" w:hAnsi="Times New Roman" w:cs="Times New Roman"/>
                <w:color w:val="000000"/>
                <w:sz w:val="24"/>
                <w:szCs w:val="24"/>
                <w:lang w:eastAsia="fr-FR"/>
              </w:rPr>
              <w:t>C</w:t>
            </w:r>
            <w:r w:rsidRPr="00472004">
              <w:rPr>
                <w:rFonts w:ascii="Times New Roman" w:eastAsia="Times New Roman" w:hAnsi="Times New Roman" w:cs="Times New Roman"/>
                <w:color w:val="000000"/>
                <w:sz w:val="24"/>
                <w:szCs w:val="24"/>
                <w:vertAlign w:val="subscript"/>
                <w:lang w:eastAsia="fr-FR"/>
              </w:rPr>
              <w:t>max</w:t>
            </w:r>
            <w:proofErr w:type="spellEnd"/>
            <w:r w:rsidRPr="00472004">
              <w:rPr>
                <w:rFonts w:ascii="Times New Roman" w:eastAsia="Times New Roman" w:hAnsi="Times New Roman" w:cs="Times New Roman"/>
                <w:color w:val="000000"/>
                <w:sz w:val="24"/>
                <w:szCs w:val="24"/>
                <w:lang w:eastAsia="fr-FR"/>
              </w:rPr>
              <w:t xml:space="preserve"> = Concentration plasmatique maximale de la substance (µg/ml)</w:t>
            </w:r>
            <w:r w:rsidRPr="00472004">
              <w:rPr>
                <w:rFonts w:ascii="Times New Roman" w:eastAsia="Times New Roman" w:hAnsi="Times New Roman" w:cs="Times New Roman"/>
                <w:color w:val="000000"/>
                <w:sz w:val="24"/>
                <w:szCs w:val="24"/>
                <w:lang w:eastAsia="fr-FR"/>
              </w:rPr>
              <w:br/>
            </w:r>
            <w:proofErr w:type="spellStart"/>
            <w:r w:rsidRPr="00472004">
              <w:rPr>
                <w:rFonts w:ascii="Times New Roman" w:eastAsia="Times New Roman" w:hAnsi="Times New Roman" w:cs="Times New Roman"/>
                <w:color w:val="000000"/>
                <w:sz w:val="24"/>
                <w:szCs w:val="24"/>
                <w:lang w:eastAsia="fr-FR"/>
              </w:rPr>
              <w:t>T</w:t>
            </w:r>
            <w:r w:rsidRPr="00472004">
              <w:rPr>
                <w:rFonts w:ascii="Times New Roman" w:eastAsia="Times New Roman" w:hAnsi="Times New Roman" w:cs="Times New Roman"/>
                <w:color w:val="000000"/>
                <w:sz w:val="24"/>
                <w:szCs w:val="24"/>
                <w:vertAlign w:val="subscript"/>
                <w:lang w:eastAsia="fr-FR"/>
              </w:rPr>
              <w:t>max</w:t>
            </w:r>
            <w:proofErr w:type="spellEnd"/>
            <w:r w:rsidRPr="00472004">
              <w:rPr>
                <w:rFonts w:ascii="Times New Roman" w:eastAsia="Times New Roman" w:hAnsi="Times New Roman" w:cs="Times New Roman"/>
                <w:color w:val="000000"/>
                <w:sz w:val="24"/>
                <w:szCs w:val="24"/>
                <w:lang w:eastAsia="fr-FR"/>
              </w:rPr>
              <w:t xml:space="preserve"> = Délai d'obtention de la </w:t>
            </w:r>
            <w:proofErr w:type="spellStart"/>
            <w:r w:rsidRPr="00472004">
              <w:rPr>
                <w:rFonts w:ascii="Times New Roman" w:eastAsia="Times New Roman" w:hAnsi="Times New Roman" w:cs="Times New Roman"/>
                <w:color w:val="000000"/>
                <w:sz w:val="24"/>
                <w:szCs w:val="24"/>
                <w:lang w:eastAsia="fr-FR"/>
              </w:rPr>
              <w:t>C</w:t>
            </w:r>
            <w:r w:rsidRPr="00472004">
              <w:rPr>
                <w:rFonts w:ascii="Times New Roman" w:eastAsia="Times New Roman" w:hAnsi="Times New Roman" w:cs="Times New Roman"/>
                <w:color w:val="000000"/>
                <w:sz w:val="24"/>
                <w:szCs w:val="24"/>
                <w:vertAlign w:val="subscript"/>
                <w:lang w:eastAsia="fr-FR"/>
              </w:rPr>
              <w:t>max</w:t>
            </w:r>
            <w:proofErr w:type="spellEnd"/>
            <w:r w:rsidRPr="00472004">
              <w:rPr>
                <w:rFonts w:ascii="Times New Roman" w:eastAsia="Times New Roman" w:hAnsi="Times New Roman" w:cs="Times New Roman"/>
                <w:color w:val="000000"/>
                <w:sz w:val="24"/>
                <w:szCs w:val="24"/>
                <w:lang w:eastAsia="fr-FR"/>
              </w:rPr>
              <w:t xml:space="preserve"> (heures)</w:t>
            </w:r>
            <w:r w:rsidRPr="00472004">
              <w:rPr>
                <w:rFonts w:ascii="Times New Roman" w:eastAsia="Times New Roman" w:hAnsi="Times New Roman" w:cs="Times New Roman"/>
                <w:color w:val="000000"/>
                <w:sz w:val="24"/>
                <w:szCs w:val="24"/>
                <w:lang w:eastAsia="fr-FR"/>
              </w:rPr>
              <w:br/>
              <w:t xml:space="preserve">t1/2 =Demi-vie d'élimination terminale (min) </w:t>
            </w:r>
          </w:p>
        </w:tc>
      </w:tr>
    </w:tbl>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Absorption/biodisponibilité</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Après administration IV ou IM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celle-ci est rapidement et totalement transformée en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C'est pourquoi la biodisponibilité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est la même après administration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qu'après administration parentérale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Distribution</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est fortement liée aux protéines plasmatiques, principalement à l'albumine, mais à un moindre degré que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En l'absence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12 % environ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plasmatique totale sont libres, dans la zone des concentrations atteintes en clinique. Toutefois,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déplace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des sites de fixation aux protéines plasmatiques, augmentant ainsi la fraction libre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(jusqu'à 30 %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libre) pendant la période nécessaire à la biotransformation de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en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(environ 30 minutes à 1 heure après la perfusion).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Le volume de distribution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est compris entre 24,9 et 36,8 litres.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Métabolisme et excrétion</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lastRenderedPageBreak/>
        <w:t xml:space="preserve">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formée après administration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est largement métabolisée dans le foie et excrétée dans les urines principalement sous forme de 5-(p-</w:t>
      </w:r>
      <w:proofErr w:type="spellStart"/>
      <w:r w:rsidRPr="00472004">
        <w:rPr>
          <w:rFonts w:ascii="Times New Roman" w:eastAsia="Times New Roman" w:hAnsi="Times New Roman" w:cs="Times New Roman"/>
          <w:color w:val="000000"/>
          <w:sz w:val="24"/>
          <w:szCs w:val="24"/>
          <w:lang w:eastAsia="fr-FR"/>
        </w:rPr>
        <w:t>hydroxy</w:t>
      </w:r>
      <w:proofErr w:type="spellEnd"/>
      <w:r w:rsidRPr="00472004">
        <w:rPr>
          <w:rFonts w:ascii="Times New Roman" w:eastAsia="Times New Roman" w:hAnsi="Times New Roman" w:cs="Times New Roman"/>
          <w:color w:val="000000"/>
          <w:sz w:val="24"/>
          <w:szCs w:val="24"/>
          <w:lang w:eastAsia="fr-FR"/>
        </w:rPr>
        <w:t>-</w:t>
      </w:r>
      <w:proofErr w:type="spellStart"/>
      <w:r w:rsidRPr="00472004">
        <w:rPr>
          <w:rFonts w:ascii="Times New Roman" w:eastAsia="Times New Roman" w:hAnsi="Times New Roman" w:cs="Times New Roman"/>
          <w:color w:val="000000"/>
          <w:sz w:val="24"/>
          <w:szCs w:val="24"/>
          <w:lang w:eastAsia="fr-FR"/>
        </w:rPr>
        <w:t>phényl</w:t>
      </w:r>
      <w:proofErr w:type="spellEnd"/>
      <w:r w:rsidRPr="00472004">
        <w:rPr>
          <w:rFonts w:ascii="Times New Roman" w:eastAsia="Times New Roman" w:hAnsi="Times New Roman" w:cs="Times New Roman"/>
          <w:color w:val="000000"/>
          <w:sz w:val="24"/>
          <w:szCs w:val="24"/>
          <w:lang w:eastAsia="fr-FR"/>
        </w:rPr>
        <w:t>)-5-</w:t>
      </w:r>
      <w:proofErr w:type="spellStart"/>
      <w:r w:rsidRPr="00472004">
        <w:rPr>
          <w:rFonts w:ascii="Times New Roman" w:eastAsia="Times New Roman" w:hAnsi="Times New Roman" w:cs="Times New Roman"/>
          <w:color w:val="000000"/>
          <w:sz w:val="24"/>
          <w:szCs w:val="24"/>
          <w:lang w:eastAsia="fr-FR"/>
        </w:rPr>
        <w:t>phénylhydantoïne</w:t>
      </w:r>
      <w:proofErr w:type="spellEnd"/>
      <w:r w:rsidRPr="00472004">
        <w:rPr>
          <w:rFonts w:ascii="Times New Roman" w:eastAsia="Times New Roman" w:hAnsi="Times New Roman" w:cs="Times New Roman"/>
          <w:color w:val="000000"/>
          <w:sz w:val="24"/>
          <w:szCs w:val="24"/>
          <w:lang w:eastAsia="fr-FR"/>
        </w:rPr>
        <w:t xml:space="preserve"> et de son </w:t>
      </w:r>
      <w:proofErr w:type="spellStart"/>
      <w:r w:rsidRPr="00472004">
        <w:rPr>
          <w:rFonts w:ascii="Times New Roman" w:eastAsia="Times New Roman" w:hAnsi="Times New Roman" w:cs="Times New Roman"/>
          <w:color w:val="000000"/>
          <w:sz w:val="24"/>
          <w:szCs w:val="24"/>
          <w:lang w:eastAsia="fr-FR"/>
        </w:rPr>
        <w:t>glucuronide</w:t>
      </w:r>
      <w:proofErr w:type="spellEnd"/>
      <w:r w:rsidRPr="00472004">
        <w:rPr>
          <w:rFonts w:ascii="Times New Roman" w:eastAsia="Times New Roman" w:hAnsi="Times New Roman" w:cs="Times New Roman"/>
          <w:color w:val="000000"/>
          <w:sz w:val="24"/>
          <w:szCs w:val="24"/>
          <w:lang w:eastAsia="fr-FR"/>
        </w:rPr>
        <w:t xml:space="preserve">; on ne retrouve que peu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inchangée dans les urines (1 à 5% de la dose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Le métabolisme hépatique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est saturable et, après administration de doses IV uniques de 400 à 1200 mg d'EP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les surfaces sous la courbe (SSC)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totale et libre augmentent de façon non proportionnelle à la dose. Les demi-vies moyennes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totale (12,0 à 28,9 heures) après administration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à ces doses sont similaires à celles obtenues après administration parentérale de doses identiques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et ont tendance à augmenter avec l'augmentation des concentrations plasmatiques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Caractéristiques pharmacocinétiques chez les patients</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Patients présentant des maladies rénales ou hépatiques</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La biotransformation de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en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est accélérée en cas de maladie rénale ou hépatique en raison de la diminution de la liaison aux protéines plasmatiques secondaire à l'</w:t>
      </w:r>
      <w:proofErr w:type="spellStart"/>
      <w:r w:rsidRPr="00472004">
        <w:rPr>
          <w:rFonts w:ascii="Times New Roman" w:eastAsia="Times New Roman" w:hAnsi="Times New Roman" w:cs="Times New Roman"/>
          <w:color w:val="000000"/>
          <w:sz w:val="24"/>
          <w:szCs w:val="24"/>
          <w:lang w:eastAsia="fr-FR"/>
        </w:rPr>
        <w:t>hypoalbuminémie</w:t>
      </w:r>
      <w:proofErr w:type="spellEnd"/>
      <w:r w:rsidRPr="00472004">
        <w:rPr>
          <w:rFonts w:ascii="Times New Roman" w:eastAsia="Times New Roman" w:hAnsi="Times New Roman" w:cs="Times New Roman"/>
          <w:color w:val="000000"/>
          <w:sz w:val="24"/>
          <w:szCs w:val="24"/>
          <w:lang w:eastAsia="fr-FR"/>
        </w:rPr>
        <w:t xml:space="preserve"> qui accompagne ces maladies. Le degré de conversion en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n'est pas affecté. En cas de perturbation de la fonction hépatique, le métabolisme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peut être réduit aboutissant à une augmentation des concentrations plasmatiques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w:t>
      </w:r>
      <w:hyperlink w:anchor="Rcp_4_2_PosoAdmin_1" w:history="1">
        <w:r w:rsidRPr="00472004">
          <w:rPr>
            <w:rFonts w:ascii="Times New Roman" w:eastAsia="Times New Roman" w:hAnsi="Times New Roman" w:cs="Times New Roman"/>
            <w:color w:val="990000"/>
            <w:sz w:val="24"/>
            <w:szCs w:val="24"/>
            <w:u w:val="single"/>
            <w:lang w:eastAsia="fr-FR"/>
          </w:rPr>
          <w:t xml:space="preserve"> </w:t>
        </w:r>
        <w:r w:rsidRPr="00472004">
          <w:rPr>
            <w:rFonts w:ascii="Arial" w:eastAsia="Times New Roman" w:hAnsi="Arial" w:cs="Arial"/>
            <w:color w:val="990000"/>
            <w:sz w:val="24"/>
            <w:szCs w:val="24"/>
            <w:u w:val="single"/>
            <w:lang w:eastAsia="fr-FR"/>
          </w:rPr>
          <w:t xml:space="preserve">voir rubrique Posologie et mode </w:t>
        </w:r>
        <w:proofErr w:type="gramStart"/>
        <w:r w:rsidRPr="00472004">
          <w:rPr>
            <w:rFonts w:ascii="Arial" w:eastAsia="Times New Roman" w:hAnsi="Arial" w:cs="Arial"/>
            <w:color w:val="990000"/>
            <w:sz w:val="24"/>
            <w:szCs w:val="24"/>
            <w:u w:val="single"/>
            <w:lang w:eastAsia="fr-FR"/>
          </w:rPr>
          <w:t>d'administration</w:t>
        </w:r>
        <w:r w:rsidRPr="00472004">
          <w:rPr>
            <w:rFonts w:ascii="Times New Roman" w:eastAsia="Times New Roman" w:hAnsi="Times New Roman" w:cs="Times New Roman"/>
            <w:color w:val="990000"/>
            <w:sz w:val="24"/>
            <w:szCs w:val="24"/>
            <w:u w:val="single"/>
            <w:lang w:eastAsia="fr-FR"/>
          </w:rPr>
          <w:t xml:space="preserve"> </w:t>
        </w:r>
        <w:proofErr w:type="gramEnd"/>
      </w:hyperlink>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Patients âgés</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L'âge du patient n'a pas d'incidence notable sur la pharmacocinétique de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La clairance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tend à diminuer avec l'âge (elle est réduite de 20 % chez les patients de plus de 70 ans, comparativement aux patients âgés de 20 à 30 ans) (</w:t>
      </w:r>
      <w:hyperlink w:anchor="Rcp_4_2_PosoAdmin_1" w:history="1">
        <w:r w:rsidRPr="00472004">
          <w:rPr>
            <w:rFonts w:ascii="Times New Roman" w:eastAsia="Times New Roman" w:hAnsi="Times New Roman" w:cs="Times New Roman"/>
            <w:color w:val="990000"/>
            <w:sz w:val="24"/>
            <w:szCs w:val="24"/>
            <w:u w:val="single"/>
            <w:lang w:eastAsia="fr-FR"/>
          </w:rPr>
          <w:t xml:space="preserve"> </w:t>
        </w:r>
        <w:r w:rsidRPr="00472004">
          <w:rPr>
            <w:rFonts w:ascii="Arial" w:eastAsia="Times New Roman" w:hAnsi="Arial" w:cs="Arial"/>
            <w:color w:val="990000"/>
            <w:sz w:val="24"/>
            <w:szCs w:val="24"/>
            <w:u w:val="single"/>
            <w:lang w:eastAsia="fr-FR"/>
          </w:rPr>
          <w:t xml:space="preserve">voir rubrique Posologie et mode </w:t>
        </w:r>
        <w:proofErr w:type="gramStart"/>
        <w:r w:rsidRPr="00472004">
          <w:rPr>
            <w:rFonts w:ascii="Arial" w:eastAsia="Times New Roman" w:hAnsi="Arial" w:cs="Arial"/>
            <w:color w:val="990000"/>
            <w:sz w:val="24"/>
            <w:szCs w:val="24"/>
            <w:u w:val="single"/>
            <w:lang w:eastAsia="fr-FR"/>
          </w:rPr>
          <w:t>d'administration</w:t>
        </w:r>
        <w:r w:rsidRPr="00472004">
          <w:rPr>
            <w:rFonts w:ascii="Times New Roman" w:eastAsia="Times New Roman" w:hAnsi="Times New Roman" w:cs="Times New Roman"/>
            <w:color w:val="990000"/>
            <w:sz w:val="24"/>
            <w:szCs w:val="24"/>
            <w:u w:val="single"/>
            <w:lang w:eastAsia="fr-FR"/>
          </w:rPr>
          <w:t xml:space="preserve"> </w:t>
        </w:r>
        <w:proofErr w:type="gramEnd"/>
      </w:hyperlink>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Sexe</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Le sexe du patient n'a pas d'incidence notable sur la pharmacocinétique de la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ou de la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u w:val="single"/>
          <w:lang w:eastAsia="fr-FR"/>
        </w:rPr>
        <w:t>Enfants</w:t>
      </w:r>
      <w:r w:rsidRPr="00472004">
        <w:rPr>
          <w:rFonts w:ascii="Times New Roman" w:eastAsia="Times New Roman" w:hAnsi="Times New Roman" w:cs="Times New Roman"/>
          <w:color w:val="000000"/>
          <w:sz w:val="24"/>
          <w:szCs w:val="24"/>
          <w:lang w:eastAsia="fr-FR"/>
        </w:rPr>
        <w:t xml:space="preserve"> </w:t>
      </w:r>
    </w:p>
    <w:p w:rsidR="0046194D" w:rsidRPr="00472004" w:rsidRDefault="0046194D" w:rsidP="004619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004">
        <w:rPr>
          <w:rFonts w:ascii="Times New Roman" w:eastAsia="Times New Roman" w:hAnsi="Times New Roman" w:cs="Times New Roman"/>
          <w:color w:val="000000"/>
          <w:sz w:val="24"/>
          <w:szCs w:val="24"/>
          <w:lang w:eastAsia="fr-FR"/>
        </w:rPr>
        <w:t xml:space="preserve">Des données limitées chez des enfants de 5 à 10 ans traités par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ont montré que les courbes des concentrations de </w:t>
      </w:r>
      <w:proofErr w:type="spellStart"/>
      <w:r w:rsidRPr="00472004">
        <w:rPr>
          <w:rFonts w:ascii="Times New Roman" w:eastAsia="Times New Roman" w:hAnsi="Times New Roman" w:cs="Times New Roman"/>
          <w:color w:val="000000"/>
          <w:sz w:val="24"/>
          <w:szCs w:val="24"/>
          <w:lang w:eastAsia="fr-FR"/>
        </w:rPr>
        <w:t>fosphénytoïne</w:t>
      </w:r>
      <w:proofErr w:type="spellEnd"/>
      <w:r w:rsidRPr="00472004">
        <w:rPr>
          <w:rFonts w:ascii="Times New Roman" w:eastAsia="Times New Roman" w:hAnsi="Times New Roman" w:cs="Times New Roman"/>
          <w:color w:val="000000"/>
          <w:sz w:val="24"/>
          <w:szCs w:val="24"/>
          <w:lang w:eastAsia="fr-FR"/>
        </w:rPr>
        <w:t xml:space="preserve"> et de </w:t>
      </w:r>
      <w:proofErr w:type="spellStart"/>
      <w:r w:rsidRPr="00472004">
        <w:rPr>
          <w:rFonts w:ascii="Times New Roman" w:eastAsia="Times New Roman" w:hAnsi="Times New Roman" w:cs="Times New Roman"/>
          <w:color w:val="000000"/>
          <w:sz w:val="24"/>
          <w:szCs w:val="24"/>
          <w:lang w:eastAsia="fr-FR"/>
        </w:rPr>
        <w:t>phénytoïne</w:t>
      </w:r>
      <w:proofErr w:type="spellEnd"/>
      <w:r w:rsidRPr="00472004">
        <w:rPr>
          <w:rFonts w:ascii="Times New Roman" w:eastAsia="Times New Roman" w:hAnsi="Times New Roman" w:cs="Times New Roman"/>
          <w:color w:val="000000"/>
          <w:sz w:val="24"/>
          <w:szCs w:val="24"/>
          <w:lang w:eastAsia="fr-FR"/>
        </w:rPr>
        <w:t xml:space="preserve"> en fonction du temps étaient analogues à celles d'adultes traités par des doses comparables (en mg d'EP/kg).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6194D"/>
    <w:rsid w:val="00017B31"/>
    <w:rsid w:val="0006330F"/>
    <w:rsid w:val="0009769E"/>
    <w:rsid w:val="000C4178"/>
    <w:rsid w:val="00120A2B"/>
    <w:rsid w:val="00132903"/>
    <w:rsid w:val="001931B1"/>
    <w:rsid w:val="001A53D5"/>
    <w:rsid w:val="001B3E26"/>
    <w:rsid w:val="00282113"/>
    <w:rsid w:val="002D0F57"/>
    <w:rsid w:val="003164DC"/>
    <w:rsid w:val="0034030B"/>
    <w:rsid w:val="00370323"/>
    <w:rsid w:val="004059D9"/>
    <w:rsid w:val="004276C2"/>
    <w:rsid w:val="0046194D"/>
    <w:rsid w:val="004771A7"/>
    <w:rsid w:val="00521B28"/>
    <w:rsid w:val="005630AF"/>
    <w:rsid w:val="00587FAE"/>
    <w:rsid w:val="00610963"/>
    <w:rsid w:val="0062264F"/>
    <w:rsid w:val="00673C6F"/>
    <w:rsid w:val="006A4DC8"/>
    <w:rsid w:val="006D4445"/>
    <w:rsid w:val="0070624C"/>
    <w:rsid w:val="007628F0"/>
    <w:rsid w:val="0078077B"/>
    <w:rsid w:val="007A24F8"/>
    <w:rsid w:val="007A5B77"/>
    <w:rsid w:val="007E4829"/>
    <w:rsid w:val="008075EC"/>
    <w:rsid w:val="00816CD7"/>
    <w:rsid w:val="00841542"/>
    <w:rsid w:val="008D2D19"/>
    <w:rsid w:val="008F30B2"/>
    <w:rsid w:val="00911C5C"/>
    <w:rsid w:val="00915F11"/>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6387</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2013-11-21T12:34:00Z</dcterms:created>
  <dcterms:modified xsi:type="dcterms:W3CDTF">2013-11-21T12:35:00Z</dcterms:modified>
</cp:coreProperties>
</file>